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A082" w14:textId="77777777" w:rsidR="003F7C7C" w:rsidRPr="003F7C7C" w:rsidRDefault="003F7C7C" w:rsidP="003F7C7C">
      <w:pPr>
        <w:rPr>
          <w:rFonts w:ascii="Verdana Pro" w:hAnsi="Verdana Pro"/>
          <w:b/>
          <w:sz w:val="20"/>
          <w:szCs w:val="20"/>
        </w:rPr>
      </w:pPr>
      <w:proofErr w:type="gramStart"/>
      <w:r w:rsidRPr="003F7C7C">
        <w:rPr>
          <w:rFonts w:ascii="Verdana Pro" w:hAnsi="Verdana Pro"/>
          <w:b/>
          <w:sz w:val="20"/>
          <w:szCs w:val="20"/>
        </w:rPr>
        <w:t>Creation of an undergraduate teaching tool to address the availability-accessibility paradigm in medical education.</w:t>
      </w:r>
      <w:proofErr w:type="gramEnd"/>
    </w:p>
    <w:p w14:paraId="3249A47F" w14:textId="3A670775" w:rsidR="00CF3BDB" w:rsidRPr="003F7C7C" w:rsidRDefault="003F7C7C">
      <w:pPr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b/>
          <w:bCs/>
          <w:sz w:val="20"/>
          <w:szCs w:val="20"/>
        </w:rPr>
        <w:t xml:space="preserve">Dr Nikolaos </w:t>
      </w:r>
      <w:proofErr w:type="spellStart"/>
      <w:r w:rsidRPr="003F7C7C">
        <w:rPr>
          <w:rFonts w:ascii="Verdana Pro" w:hAnsi="Verdana Pro"/>
          <w:b/>
          <w:bCs/>
          <w:sz w:val="20"/>
          <w:szCs w:val="20"/>
        </w:rPr>
        <w:t>Tzoumas</w:t>
      </w:r>
      <w:proofErr w:type="spellEnd"/>
      <w:r>
        <w:rPr>
          <w:rFonts w:ascii="Verdana Pro" w:hAnsi="Verdana Pro"/>
          <w:b/>
          <w:bCs/>
          <w:sz w:val="20"/>
          <w:szCs w:val="20"/>
        </w:rPr>
        <w:t xml:space="preserve"> (NT)</w:t>
      </w:r>
      <w:r w:rsidRPr="003F7C7C">
        <w:rPr>
          <w:rFonts w:ascii="Verdana Pro" w:hAnsi="Verdana Pro"/>
          <w:b/>
          <w:bCs/>
          <w:sz w:val="20"/>
          <w:szCs w:val="20"/>
        </w:rPr>
        <w:t xml:space="preserve">, </w:t>
      </w:r>
      <w:r w:rsidRPr="003F7C7C">
        <w:rPr>
          <w:rFonts w:ascii="Verdana Pro" w:hAnsi="Verdana Pro"/>
          <w:sz w:val="20"/>
          <w:szCs w:val="20"/>
        </w:rPr>
        <w:t>Dr</w:t>
      </w:r>
      <w:r w:rsidRPr="003F7C7C">
        <w:rPr>
          <w:rFonts w:ascii="Verdana Pro" w:hAnsi="Verdana Pro"/>
          <w:b/>
          <w:bCs/>
          <w:sz w:val="20"/>
          <w:szCs w:val="20"/>
        </w:rPr>
        <w:t xml:space="preserve"> </w:t>
      </w:r>
      <w:r w:rsidRPr="003F7C7C">
        <w:rPr>
          <w:rFonts w:ascii="Verdana Pro" w:hAnsi="Verdana Pro"/>
          <w:sz w:val="20"/>
          <w:szCs w:val="20"/>
        </w:rPr>
        <w:t xml:space="preserve">Toby </w:t>
      </w:r>
      <w:proofErr w:type="spellStart"/>
      <w:r w:rsidRPr="003F7C7C">
        <w:rPr>
          <w:rFonts w:ascii="Verdana Pro" w:hAnsi="Verdana Pro"/>
          <w:sz w:val="20"/>
          <w:szCs w:val="20"/>
        </w:rPr>
        <w:t>Boote</w:t>
      </w:r>
      <w:proofErr w:type="spellEnd"/>
      <w:r>
        <w:rPr>
          <w:rFonts w:ascii="Verdana Pro" w:hAnsi="Verdana Pro"/>
          <w:sz w:val="20"/>
          <w:szCs w:val="20"/>
        </w:rPr>
        <w:t xml:space="preserve"> (TB)</w:t>
      </w:r>
    </w:p>
    <w:p w14:paraId="45866A4D" w14:textId="65ADFFFE" w:rsidR="003F7C7C" w:rsidRPr="003F7C7C" w:rsidRDefault="003F7C7C">
      <w:pPr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  <w:vertAlign w:val="superscript"/>
        </w:rPr>
        <w:t>1</w:t>
      </w:r>
      <w:r w:rsidRPr="003F7C7C">
        <w:rPr>
          <w:rFonts w:ascii="Verdana Pro" w:hAnsi="Verdana Pro"/>
          <w:sz w:val="20"/>
          <w:szCs w:val="20"/>
        </w:rPr>
        <w:t>James Cook University Hospital, South Tees Hospitals NHS Foundation Trust</w:t>
      </w:r>
    </w:p>
    <w:p w14:paraId="706231C8" w14:textId="4729A050" w:rsidR="003F7C7C" w:rsidRPr="003F7C7C" w:rsidRDefault="003F7C7C">
      <w:pPr>
        <w:rPr>
          <w:rFonts w:ascii="Verdana Pro" w:hAnsi="Verdana Pro"/>
          <w:sz w:val="20"/>
          <w:szCs w:val="20"/>
        </w:rPr>
      </w:pPr>
    </w:p>
    <w:p w14:paraId="22F805E4" w14:textId="5AB6CD1D" w:rsidR="003F7C7C" w:rsidRPr="003F7C7C" w:rsidRDefault="003F7C7C">
      <w:pPr>
        <w:rPr>
          <w:rFonts w:ascii="Verdana Pro" w:hAnsi="Verdana Pro"/>
          <w:b/>
          <w:bCs/>
          <w:sz w:val="20"/>
          <w:szCs w:val="20"/>
        </w:rPr>
      </w:pPr>
      <w:r w:rsidRPr="003F7C7C">
        <w:rPr>
          <w:rFonts w:ascii="Verdana Pro" w:hAnsi="Verdana Pro"/>
          <w:b/>
          <w:bCs/>
          <w:sz w:val="20"/>
          <w:szCs w:val="20"/>
        </w:rPr>
        <w:t>Introduction</w:t>
      </w:r>
    </w:p>
    <w:p w14:paraId="560504CF" w14:textId="4A2E569C" w:rsidR="003F7C7C" w:rsidRPr="003F7C7C" w:rsidRDefault="003F7C7C" w:rsidP="003F7C7C">
      <w:pPr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>The effects of resource expansion on undergraduate medical education are unclea</w:t>
      </w:r>
      <w:r w:rsidR="00967A14">
        <w:rPr>
          <w:rFonts w:ascii="Verdana Pro" w:hAnsi="Verdana Pro"/>
          <w:sz w:val="20"/>
          <w:szCs w:val="20"/>
        </w:rPr>
        <w:t>r</w:t>
      </w:r>
      <w:r w:rsidRPr="003F7C7C">
        <w:rPr>
          <w:rFonts w:ascii="Verdana Pro" w:hAnsi="Verdana Pro"/>
          <w:sz w:val="20"/>
          <w:szCs w:val="20"/>
        </w:rPr>
        <w:t>. We evaluated the experiences of teaching amongst medical students to create tailored summative e-learning resources and improve teaching at our UK medical school.</w:t>
      </w:r>
    </w:p>
    <w:p w14:paraId="65E91C56" w14:textId="2BD93742" w:rsidR="003F7C7C" w:rsidRPr="003F7C7C" w:rsidRDefault="003F7C7C" w:rsidP="003F7C7C">
      <w:pPr>
        <w:rPr>
          <w:rFonts w:ascii="Verdana Pro" w:hAnsi="Verdana Pro"/>
          <w:b/>
          <w:bCs/>
          <w:sz w:val="20"/>
          <w:szCs w:val="20"/>
        </w:rPr>
      </w:pPr>
      <w:r w:rsidRPr="003F7C7C">
        <w:rPr>
          <w:rFonts w:ascii="Verdana Pro" w:hAnsi="Verdana Pro"/>
          <w:b/>
          <w:bCs/>
          <w:sz w:val="20"/>
          <w:szCs w:val="20"/>
        </w:rPr>
        <w:t>Methods</w:t>
      </w:r>
    </w:p>
    <w:p w14:paraId="199655D0" w14:textId="731DE4B0" w:rsidR="003F7C7C" w:rsidRPr="003F7C7C" w:rsidRDefault="003F7C7C" w:rsidP="003F7C7C">
      <w:pPr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>Feedback spanning five years of clinical rotations through the NHS Lothian Ophthalmology department was analysed, highlighting three areas for the impro</w:t>
      </w:r>
      <w:bookmarkStart w:id="0" w:name="_GoBack"/>
      <w:bookmarkEnd w:id="0"/>
      <w:r w:rsidRPr="003F7C7C">
        <w:rPr>
          <w:rFonts w:ascii="Verdana Pro" w:hAnsi="Verdana Pro"/>
          <w:sz w:val="20"/>
          <w:szCs w:val="20"/>
        </w:rPr>
        <w:t xml:space="preserve">vement of teaching resources: quality, utility and reliability. We assessed senior </w:t>
      </w:r>
      <w:r w:rsidR="004C15AA">
        <w:rPr>
          <w:rFonts w:ascii="Verdana Pro" w:hAnsi="Verdana Pro"/>
          <w:sz w:val="20"/>
          <w:szCs w:val="20"/>
        </w:rPr>
        <w:t xml:space="preserve">Edinburgh Medical School </w:t>
      </w:r>
      <w:r w:rsidR="004C15AA" w:rsidRPr="00021FDF">
        <w:rPr>
          <w:rFonts w:ascii="Verdana Pro" w:hAnsi="Verdana Pro"/>
          <w:sz w:val="20"/>
          <w:szCs w:val="20"/>
        </w:rPr>
        <w:t>student</w:t>
      </w:r>
      <w:r w:rsidR="004C15AA" w:rsidRPr="003F7C7C">
        <w:rPr>
          <w:rFonts w:ascii="Verdana Pro" w:hAnsi="Verdana Pro"/>
          <w:sz w:val="20"/>
          <w:szCs w:val="20"/>
        </w:rPr>
        <w:t xml:space="preserve"> </w:t>
      </w:r>
      <w:r w:rsidRPr="003F7C7C">
        <w:rPr>
          <w:rFonts w:ascii="Verdana Pro" w:hAnsi="Verdana Pro"/>
          <w:sz w:val="20"/>
          <w:szCs w:val="20"/>
        </w:rPr>
        <w:t xml:space="preserve">perceptions of online ophthalmology resources using a nonrandomised </w:t>
      </w:r>
      <w:proofErr w:type="spellStart"/>
      <w:r w:rsidRPr="003F7C7C">
        <w:rPr>
          <w:rFonts w:ascii="Verdana Pro" w:hAnsi="Verdana Pro"/>
          <w:sz w:val="20"/>
          <w:szCs w:val="20"/>
        </w:rPr>
        <w:t>pretest-posttest</w:t>
      </w:r>
      <w:proofErr w:type="spellEnd"/>
      <w:r w:rsidRPr="003F7C7C">
        <w:rPr>
          <w:rFonts w:ascii="Verdana Pro" w:hAnsi="Verdana Pro"/>
          <w:sz w:val="20"/>
          <w:szCs w:val="20"/>
        </w:rPr>
        <w:t xml:space="preserve"> design. Our </w:t>
      </w:r>
      <w:proofErr w:type="spellStart"/>
      <w:r w:rsidRPr="003F7C7C">
        <w:rPr>
          <w:rFonts w:ascii="Verdana Pro" w:hAnsi="Verdana Pro"/>
          <w:sz w:val="20"/>
          <w:szCs w:val="20"/>
        </w:rPr>
        <w:t>pretest</w:t>
      </w:r>
      <w:proofErr w:type="spellEnd"/>
      <w:r w:rsidRPr="003F7C7C">
        <w:rPr>
          <w:rFonts w:ascii="Verdana Pro" w:hAnsi="Verdana Pro"/>
          <w:sz w:val="20"/>
          <w:szCs w:val="20"/>
        </w:rPr>
        <w:t xml:space="preserve"> responses (</w:t>
      </w:r>
      <w:r w:rsidRPr="003F7C7C">
        <w:rPr>
          <w:rFonts w:ascii="Verdana Pro" w:hAnsi="Verdana Pro"/>
          <w:i/>
          <w:iCs/>
          <w:sz w:val="20"/>
          <w:szCs w:val="20"/>
        </w:rPr>
        <w:t>n</w:t>
      </w:r>
      <w:r w:rsidRPr="003F7C7C">
        <w:rPr>
          <w:rFonts w:ascii="Verdana Pro" w:hAnsi="Verdana Pro"/>
          <w:sz w:val="20"/>
          <w:szCs w:val="20"/>
        </w:rPr>
        <w:t xml:space="preserve">=68) guided the creation of an online teaching tool mapped to the curriculum </w:t>
      </w:r>
      <w:r w:rsidR="007D7B3B">
        <w:rPr>
          <w:rFonts w:ascii="Verdana Pro" w:hAnsi="Verdana Pro"/>
          <w:sz w:val="20"/>
          <w:szCs w:val="20"/>
        </w:rPr>
        <w:t>and hyperlinked</w:t>
      </w:r>
      <w:r w:rsidRPr="003F7C7C">
        <w:rPr>
          <w:rFonts w:ascii="Verdana Pro" w:hAnsi="Verdana Pro"/>
          <w:sz w:val="20"/>
          <w:szCs w:val="20"/>
        </w:rPr>
        <w:t xml:space="preserve"> to further content. We trialled this on the same group revising for summative examinations, followed by a </w:t>
      </w:r>
      <w:proofErr w:type="spellStart"/>
      <w:r w:rsidRPr="003F7C7C">
        <w:rPr>
          <w:rFonts w:ascii="Verdana Pro" w:hAnsi="Verdana Pro"/>
          <w:sz w:val="20"/>
          <w:szCs w:val="20"/>
        </w:rPr>
        <w:t>posttest</w:t>
      </w:r>
      <w:proofErr w:type="spellEnd"/>
      <w:r w:rsidRPr="003F7C7C">
        <w:rPr>
          <w:rFonts w:ascii="Verdana Pro" w:hAnsi="Verdana Pro"/>
          <w:sz w:val="20"/>
          <w:szCs w:val="20"/>
        </w:rPr>
        <w:t xml:space="preserve"> questionnaire (</w:t>
      </w:r>
      <w:r w:rsidRPr="003F7C7C">
        <w:rPr>
          <w:rFonts w:ascii="Verdana Pro" w:hAnsi="Verdana Pro"/>
          <w:i/>
          <w:iCs/>
          <w:sz w:val="20"/>
          <w:szCs w:val="20"/>
        </w:rPr>
        <w:t>n</w:t>
      </w:r>
      <w:r w:rsidRPr="003F7C7C">
        <w:rPr>
          <w:rFonts w:ascii="Verdana Pro" w:hAnsi="Verdana Pro"/>
          <w:sz w:val="20"/>
          <w:szCs w:val="20"/>
        </w:rPr>
        <w:t>=47; 31% attrition rate).</w:t>
      </w:r>
    </w:p>
    <w:p w14:paraId="58155FBF" w14:textId="5B9EA1C3" w:rsidR="003F7C7C" w:rsidRPr="003F7C7C" w:rsidRDefault="003F7C7C" w:rsidP="003F7C7C">
      <w:pPr>
        <w:rPr>
          <w:rFonts w:ascii="Verdana Pro" w:hAnsi="Verdana Pro"/>
          <w:b/>
          <w:bCs/>
          <w:sz w:val="20"/>
          <w:szCs w:val="20"/>
        </w:rPr>
      </w:pPr>
      <w:r w:rsidRPr="003F7C7C">
        <w:rPr>
          <w:rFonts w:ascii="Verdana Pro" w:hAnsi="Verdana Pro"/>
          <w:b/>
          <w:bCs/>
          <w:sz w:val="20"/>
          <w:szCs w:val="20"/>
        </w:rPr>
        <w:t>Results</w:t>
      </w:r>
    </w:p>
    <w:p w14:paraId="3766D385" w14:textId="47BF373A" w:rsidR="003F7C7C" w:rsidRPr="003F7C7C" w:rsidRDefault="003F7C7C" w:rsidP="003F7C7C">
      <w:pPr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 xml:space="preserve">Students highlighted the need for high quality, practical resources focused on immediate learning needs. After our intervention, the percentage of students who rated the online ophthalmology educational resources as </w:t>
      </w:r>
      <w:r w:rsidRPr="003F7C7C">
        <w:rPr>
          <w:rFonts w:ascii="Verdana Pro" w:hAnsi="Verdana Pro"/>
          <w:i/>
          <w:iCs/>
          <w:sz w:val="20"/>
          <w:szCs w:val="20"/>
        </w:rPr>
        <w:t>high/very high quality</w:t>
      </w:r>
      <w:r w:rsidRPr="003F7C7C">
        <w:rPr>
          <w:rFonts w:ascii="Verdana Pro" w:hAnsi="Verdana Pro"/>
          <w:sz w:val="20"/>
          <w:szCs w:val="20"/>
        </w:rPr>
        <w:t xml:space="preserve"> increased from 25 to 96%, those who felt that the resources were </w:t>
      </w:r>
      <w:r w:rsidRPr="003F7C7C">
        <w:rPr>
          <w:rFonts w:ascii="Verdana Pro" w:hAnsi="Verdana Pro"/>
          <w:i/>
          <w:iCs/>
          <w:sz w:val="20"/>
          <w:szCs w:val="20"/>
        </w:rPr>
        <w:t>very/extremely helpful</w:t>
      </w:r>
      <w:r w:rsidRPr="003F7C7C">
        <w:rPr>
          <w:rFonts w:ascii="Verdana Pro" w:hAnsi="Verdana Pro"/>
          <w:sz w:val="20"/>
          <w:szCs w:val="20"/>
        </w:rPr>
        <w:t xml:space="preserve"> in their revision increased from 16 to 69%, and those who felt that they were </w:t>
      </w:r>
      <w:r w:rsidRPr="003F7C7C">
        <w:rPr>
          <w:rFonts w:ascii="Verdana Pro" w:hAnsi="Verdana Pro"/>
          <w:i/>
          <w:iCs/>
          <w:sz w:val="20"/>
          <w:szCs w:val="20"/>
        </w:rPr>
        <w:t>very/extremely likely</w:t>
      </w:r>
      <w:r w:rsidRPr="003F7C7C">
        <w:rPr>
          <w:rFonts w:ascii="Verdana Pro" w:hAnsi="Verdana Pro"/>
          <w:sz w:val="20"/>
          <w:szCs w:val="20"/>
        </w:rPr>
        <w:t xml:space="preserve"> to use the resources again increased from 36 to 94%.</w:t>
      </w:r>
    </w:p>
    <w:p w14:paraId="0DB68D71" w14:textId="60AEED48" w:rsidR="003F7C7C" w:rsidRPr="003F7C7C" w:rsidRDefault="003F7C7C" w:rsidP="003F7C7C">
      <w:pPr>
        <w:rPr>
          <w:rFonts w:ascii="Verdana Pro" w:hAnsi="Verdana Pro"/>
          <w:b/>
          <w:bCs/>
          <w:sz w:val="20"/>
          <w:szCs w:val="20"/>
        </w:rPr>
      </w:pPr>
      <w:r w:rsidRPr="003F7C7C">
        <w:rPr>
          <w:rFonts w:ascii="Verdana Pro" w:hAnsi="Verdana Pro"/>
          <w:b/>
          <w:bCs/>
          <w:sz w:val="20"/>
          <w:szCs w:val="20"/>
        </w:rPr>
        <w:t>Conclusion</w:t>
      </w:r>
    </w:p>
    <w:p w14:paraId="0EAB8FA8" w14:textId="24DE2C50" w:rsidR="003F7C7C" w:rsidRPr="003F7C7C" w:rsidRDefault="003F7C7C" w:rsidP="003F7C7C">
      <w:pPr>
        <w:rPr>
          <w:rFonts w:ascii="Verdana Pro" w:hAnsi="Verdana Pro"/>
          <w:b/>
          <w:bCs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 xml:space="preserve">Our results translate to immediate improvements in the perceived quality, utility and reliability of our University’s educational resources following implementation of a novel teaching tool. </w:t>
      </w:r>
      <w:r w:rsidR="00967A14">
        <w:rPr>
          <w:rFonts w:ascii="Verdana Pro" w:hAnsi="Verdana Pro"/>
          <w:sz w:val="20"/>
          <w:szCs w:val="20"/>
        </w:rPr>
        <w:t>Adaptation of our summative teaching tool for Newcastle and Glasgow medical schools, with f</w:t>
      </w:r>
      <w:r w:rsidRPr="003F7C7C">
        <w:rPr>
          <w:rFonts w:ascii="Verdana Pro" w:hAnsi="Verdana Pro"/>
          <w:sz w:val="20"/>
          <w:szCs w:val="20"/>
        </w:rPr>
        <w:t xml:space="preserve">ormal implementation </w:t>
      </w:r>
      <w:r w:rsidR="00967A14">
        <w:rPr>
          <w:rFonts w:ascii="Verdana Pro" w:hAnsi="Verdana Pro"/>
          <w:sz w:val="20"/>
          <w:szCs w:val="20"/>
        </w:rPr>
        <w:t xml:space="preserve">in the </w:t>
      </w:r>
      <w:r w:rsidRPr="003F7C7C">
        <w:rPr>
          <w:rFonts w:ascii="Verdana Pro" w:hAnsi="Verdana Pro"/>
          <w:sz w:val="20"/>
          <w:szCs w:val="20"/>
        </w:rPr>
        <w:t>curricul</w:t>
      </w:r>
      <w:r w:rsidR="00967A14">
        <w:rPr>
          <w:rFonts w:ascii="Verdana Pro" w:hAnsi="Verdana Pro"/>
          <w:sz w:val="20"/>
          <w:szCs w:val="20"/>
        </w:rPr>
        <w:t>a,</w:t>
      </w:r>
      <w:r w:rsidRPr="003F7C7C">
        <w:rPr>
          <w:rFonts w:ascii="Verdana Pro" w:hAnsi="Verdana Pro"/>
          <w:sz w:val="20"/>
          <w:szCs w:val="20"/>
        </w:rPr>
        <w:t xml:space="preserve"> will allow us to evaluate </w:t>
      </w:r>
      <w:r w:rsidR="00967A14">
        <w:rPr>
          <w:rFonts w:ascii="Verdana Pro" w:hAnsi="Verdana Pro"/>
          <w:sz w:val="20"/>
          <w:szCs w:val="20"/>
        </w:rPr>
        <w:t>its</w:t>
      </w:r>
      <w:r w:rsidRPr="003F7C7C">
        <w:rPr>
          <w:rFonts w:ascii="Verdana Pro" w:hAnsi="Verdana Pro"/>
          <w:sz w:val="20"/>
          <w:szCs w:val="20"/>
        </w:rPr>
        <w:t xml:space="preserve"> </w:t>
      </w:r>
      <w:r w:rsidR="00967A14">
        <w:rPr>
          <w:rFonts w:ascii="Verdana Pro" w:hAnsi="Verdana Pro"/>
          <w:sz w:val="20"/>
          <w:szCs w:val="20"/>
        </w:rPr>
        <w:t>impact</w:t>
      </w:r>
      <w:r w:rsidRPr="003F7C7C">
        <w:rPr>
          <w:rFonts w:ascii="Verdana Pro" w:hAnsi="Verdana Pro"/>
          <w:sz w:val="20"/>
          <w:szCs w:val="20"/>
        </w:rPr>
        <w:t xml:space="preserve"> </w:t>
      </w:r>
      <w:r w:rsidR="00967A14">
        <w:rPr>
          <w:rFonts w:ascii="Verdana Pro" w:hAnsi="Verdana Pro"/>
          <w:sz w:val="20"/>
          <w:szCs w:val="20"/>
        </w:rPr>
        <w:t>on</w:t>
      </w:r>
      <w:r w:rsidRPr="003F7C7C">
        <w:rPr>
          <w:rFonts w:ascii="Verdana Pro" w:hAnsi="Verdana Pro"/>
          <w:sz w:val="20"/>
          <w:szCs w:val="20"/>
        </w:rPr>
        <w:t xml:space="preserve"> educational performance and clinical practice.</w:t>
      </w:r>
    </w:p>
    <w:p w14:paraId="7ECD6FAD" w14:textId="77777777" w:rsidR="003F7C7C" w:rsidRPr="003F7C7C" w:rsidRDefault="003F7C7C" w:rsidP="003F7C7C">
      <w:pPr>
        <w:rPr>
          <w:rFonts w:ascii="Verdana Pro" w:hAnsi="Verdana Pro"/>
          <w:b/>
          <w:bCs/>
          <w:sz w:val="20"/>
          <w:szCs w:val="20"/>
        </w:rPr>
      </w:pPr>
    </w:p>
    <w:p w14:paraId="2491BE16" w14:textId="75619584" w:rsidR="003F7C7C" w:rsidRPr="003F7C7C" w:rsidRDefault="003F7C7C">
      <w:pPr>
        <w:rPr>
          <w:rFonts w:ascii="Verdana Pro" w:hAnsi="Verdana Pro"/>
          <w:b/>
          <w:bCs/>
          <w:sz w:val="20"/>
          <w:szCs w:val="20"/>
        </w:rPr>
      </w:pPr>
      <w:r w:rsidRPr="003F7C7C">
        <w:rPr>
          <w:rFonts w:ascii="Verdana Pro" w:hAnsi="Verdana Pro"/>
          <w:b/>
          <w:bCs/>
          <w:sz w:val="20"/>
          <w:szCs w:val="20"/>
        </w:rPr>
        <w:t>Correspondence to:</w:t>
      </w:r>
    </w:p>
    <w:p w14:paraId="3BB1EF73" w14:textId="496A8147" w:rsidR="003F7C7C" w:rsidRPr="003F7C7C" w:rsidRDefault="003F7C7C" w:rsidP="00DB5A6B">
      <w:pPr>
        <w:spacing w:after="0"/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 xml:space="preserve">Nikolaos </w:t>
      </w:r>
      <w:proofErr w:type="spellStart"/>
      <w:r w:rsidRPr="003F7C7C">
        <w:rPr>
          <w:rFonts w:ascii="Verdana Pro" w:hAnsi="Verdana Pro"/>
          <w:sz w:val="20"/>
          <w:szCs w:val="20"/>
        </w:rPr>
        <w:t>Tzoumas</w:t>
      </w:r>
      <w:proofErr w:type="spellEnd"/>
    </w:p>
    <w:p w14:paraId="45643AB7" w14:textId="235441F1" w:rsidR="003F7C7C" w:rsidRPr="003F7C7C" w:rsidRDefault="003F7C7C" w:rsidP="00DB5A6B">
      <w:pPr>
        <w:spacing w:after="0"/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 xml:space="preserve">Flat 23 </w:t>
      </w:r>
      <w:proofErr w:type="spellStart"/>
      <w:r w:rsidRPr="003F7C7C">
        <w:rPr>
          <w:rFonts w:ascii="Verdana Pro" w:hAnsi="Verdana Pro"/>
          <w:sz w:val="20"/>
          <w:szCs w:val="20"/>
        </w:rPr>
        <w:t>Willowsdene</w:t>
      </w:r>
      <w:proofErr w:type="spellEnd"/>
    </w:p>
    <w:p w14:paraId="72727BA9" w14:textId="0A697985" w:rsidR="003F7C7C" w:rsidRPr="003F7C7C" w:rsidRDefault="003F7C7C" w:rsidP="00DB5A6B">
      <w:pPr>
        <w:spacing w:after="0"/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 xml:space="preserve">Dixons bank, </w:t>
      </w:r>
      <w:proofErr w:type="spellStart"/>
      <w:r w:rsidRPr="003F7C7C">
        <w:rPr>
          <w:rFonts w:ascii="Verdana Pro" w:hAnsi="Verdana Pro"/>
          <w:sz w:val="20"/>
          <w:szCs w:val="20"/>
        </w:rPr>
        <w:t>Marton</w:t>
      </w:r>
      <w:proofErr w:type="spellEnd"/>
      <w:r w:rsidRPr="003F7C7C">
        <w:rPr>
          <w:rFonts w:ascii="Verdana Pro" w:hAnsi="Verdana Pro"/>
          <w:sz w:val="20"/>
          <w:szCs w:val="20"/>
        </w:rPr>
        <w:t>-in-Cleveland</w:t>
      </w:r>
    </w:p>
    <w:p w14:paraId="00D155DF" w14:textId="20F6D70D" w:rsidR="003F7C7C" w:rsidRDefault="003F7C7C" w:rsidP="00DB5A6B">
      <w:pPr>
        <w:spacing w:after="0"/>
        <w:rPr>
          <w:rFonts w:ascii="Verdana Pro" w:hAnsi="Verdana Pro"/>
          <w:sz w:val="20"/>
          <w:szCs w:val="20"/>
        </w:rPr>
      </w:pPr>
      <w:r w:rsidRPr="003F7C7C">
        <w:rPr>
          <w:rFonts w:ascii="Verdana Pro" w:hAnsi="Verdana Pro"/>
          <w:sz w:val="20"/>
          <w:szCs w:val="20"/>
        </w:rPr>
        <w:t>Middlesbrough TS7 8NY</w:t>
      </w:r>
    </w:p>
    <w:p w14:paraId="38A4E04B" w14:textId="77777777" w:rsidR="00DB5A6B" w:rsidRDefault="00DB5A6B" w:rsidP="00DB5A6B">
      <w:pPr>
        <w:spacing w:after="0"/>
        <w:rPr>
          <w:rFonts w:ascii="Verdana Pro" w:hAnsi="Verdana Pro"/>
          <w:sz w:val="20"/>
          <w:szCs w:val="20"/>
        </w:rPr>
      </w:pPr>
    </w:p>
    <w:p w14:paraId="13D3CF60" w14:textId="790F3C0C" w:rsidR="00967A14" w:rsidRPr="003F7C7C" w:rsidRDefault="00EB3A80" w:rsidP="00DB5A6B">
      <w:pPr>
        <w:spacing w:after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Email: </w:t>
      </w:r>
      <w:hyperlink r:id="rId5" w:history="1">
        <w:r w:rsidRPr="00A83B27">
          <w:rPr>
            <w:rStyle w:val="Hyperlink"/>
            <w:rFonts w:ascii="Verdana Pro" w:hAnsi="Verdana Pro"/>
            <w:sz w:val="20"/>
            <w:szCs w:val="20"/>
          </w:rPr>
          <w:t>Nikolaos.Tzoumas@nhs.net</w:t>
        </w:r>
      </w:hyperlink>
    </w:p>
    <w:p w14:paraId="6F7E3E3E" w14:textId="4B89672D" w:rsidR="00967A14" w:rsidRDefault="00EB3A80" w:rsidP="00DB5A6B">
      <w:pPr>
        <w:spacing w:after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Mobile: </w:t>
      </w:r>
      <w:r w:rsidR="00967A14">
        <w:rPr>
          <w:rFonts w:ascii="Verdana Pro" w:hAnsi="Verdana Pro"/>
          <w:sz w:val="20"/>
          <w:szCs w:val="20"/>
        </w:rPr>
        <w:t>07551689600</w:t>
      </w:r>
    </w:p>
    <w:p w14:paraId="7147F3E6" w14:textId="7064B47D" w:rsidR="007D7B3B" w:rsidRDefault="007D7B3B" w:rsidP="00DB5A6B">
      <w:pPr>
        <w:spacing w:after="0"/>
        <w:rPr>
          <w:rFonts w:ascii="Verdana Pro" w:hAnsi="Verdana Pro"/>
          <w:sz w:val="20"/>
          <w:szCs w:val="20"/>
        </w:rPr>
      </w:pPr>
    </w:p>
    <w:p w14:paraId="626D1C04" w14:textId="5CDB2E72" w:rsidR="007D7B3B" w:rsidRDefault="007D7B3B" w:rsidP="00DB5A6B">
      <w:pPr>
        <w:spacing w:after="0"/>
        <w:rPr>
          <w:rFonts w:ascii="Verdana Pro" w:hAnsi="Verdana Pro"/>
          <w:sz w:val="20"/>
          <w:szCs w:val="20"/>
        </w:rPr>
      </w:pPr>
    </w:p>
    <w:p w14:paraId="5F91A4A7" w14:textId="17D9805B" w:rsidR="007D7B3B" w:rsidRPr="007D7B3B" w:rsidRDefault="007D7B3B" w:rsidP="00DB5A6B">
      <w:pPr>
        <w:spacing w:after="0"/>
        <w:rPr>
          <w:rFonts w:ascii="Verdana Pro" w:hAnsi="Verdana Pro"/>
          <w:b/>
          <w:bCs/>
          <w:sz w:val="20"/>
          <w:szCs w:val="20"/>
        </w:rPr>
      </w:pPr>
      <w:r w:rsidRPr="007D7B3B">
        <w:rPr>
          <w:rFonts w:ascii="Verdana Pro" w:hAnsi="Verdana Pro"/>
          <w:b/>
          <w:bCs/>
          <w:sz w:val="20"/>
          <w:szCs w:val="20"/>
        </w:rPr>
        <w:t xml:space="preserve">Figure 1 </w:t>
      </w:r>
      <w:r w:rsidRPr="007D7B3B">
        <w:rPr>
          <w:rFonts w:ascii="Verdana Pro" w:hAnsi="Verdana Pro"/>
          <w:sz w:val="20"/>
          <w:szCs w:val="20"/>
        </w:rPr>
        <w:t>– side-by-side comparison of our eight teaching resources</w:t>
      </w:r>
    </w:p>
    <w:p w14:paraId="27571E7E" w14:textId="77777777" w:rsidR="007D7B3B" w:rsidRDefault="007D7B3B" w:rsidP="00DB5A6B">
      <w:pPr>
        <w:spacing w:after="0"/>
        <w:rPr>
          <w:rFonts w:ascii="Verdana Pro" w:hAnsi="Verdana Pro"/>
          <w:sz w:val="20"/>
          <w:szCs w:val="20"/>
        </w:rPr>
      </w:pPr>
    </w:p>
    <w:p w14:paraId="27CB4D44" w14:textId="3F126A22" w:rsidR="007D7B3B" w:rsidRPr="003F7C7C" w:rsidRDefault="007D7B3B" w:rsidP="00DB5A6B">
      <w:pPr>
        <w:spacing w:after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noProof/>
          <w:sz w:val="20"/>
          <w:szCs w:val="20"/>
          <w:lang w:eastAsia="en-GB"/>
        </w:rPr>
        <w:lastRenderedPageBreak/>
        <w:drawing>
          <wp:inline distT="0" distB="0" distL="0" distR="0" wp14:anchorId="2F3DEA12" wp14:editId="795B4FD4">
            <wp:extent cx="5267325" cy="296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B3B" w:rsidRPr="003F7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F"/>
    <w:rsid w:val="0037655F"/>
    <w:rsid w:val="003F7C7C"/>
    <w:rsid w:val="004C15AA"/>
    <w:rsid w:val="00560C3F"/>
    <w:rsid w:val="007D7B3B"/>
    <w:rsid w:val="00967A14"/>
    <w:rsid w:val="00CF3BDB"/>
    <w:rsid w:val="00DB5A6B"/>
    <w:rsid w:val="00E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7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C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7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ikolaos.Tzouma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Tzoumas</dc:creator>
  <cp:lastModifiedBy>Graham Leanne (RTF) NHCT</cp:lastModifiedBy>
  <cp:revision>2</cp:revision>
  <dcterms:created xsi:type="dcterms:W3CDTF">2019-09-20T09:10:00Z</dcterms:created>
  <dcterms:modified xsi:type="dcterms:W3CDTF">2019-09-20T09:10:00Z</dcterms:modified>
</cp:coreProperties>
</file>